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C0A14" w14:textId="77777777" w:rsidR="00676E61" w:rsidRDefault="006C486A" w:rsidP="006C486A">
      <w:pPr>
        <w:pStyle w:val="NormalWeb"/>
      </w:pPr>
      <w:r>
        <w:rPr>
          <w:rStyle w:val="Strong"/>
        </w:rPr>
        <w:t>Name:</w:t>
      </w:r>
      <w:r>
        <w:t xml:space="preserve"> </w:t>
      </w:r>
    </w:p>
    <w:p w14:paraId="5ECB7BC7" w14:textId="77777777" w:rsidR="00D92C82" w:rsidRPr="00D92C82" w:rsidRDefault="00D92C82" w:rsidP="00D92C82">
      <w:pPr>
        <w:pStyle w:val="NormalWeb"/>
        <w:rPr>
          <w:b/>
        </w:rPr>
      </w:pPr>
      <w:r w:rsidRPr="00D92C82">
        <w:rPr>
          <w:b/>
        </w:rPr>
        <w:t xml:space="preserve">Address: </w:t>
      </w:r>
    </w:p>
    <w:p w14:paraId="3F586B51" w14:textId="2ED06F48" w:rsidR="00D92C82" w:rsidRPr="00D92C82" w:rsidRDefault="00D92C82" w:rsidP="00D92C82">
      <w:pPr>
        <w:pStyle w:val="NormalWeb"/>
        <w:rPr>
          <w:b/>
        </w:rPr>
      </w:pPr>
      <w:r w:rsidRPr="00D92C82">
        <w:rPr>
          <w:b/>
        </w:rPr>
        <w:t>Phone:</w:t>
      </w:r>
    </w:p>
    <w:p w14:paraId="3E19DD17" w14:textId="77777777" w:rsidR="00D92C82" w:rsidRDefault="00D92C82" w:rsidP="006C486A">
      <w:pPr>
        <w:pStyle w:val="NormalWeb"/>
        <w:rPr>
          <w:b/>
        </w:rPr>
      </w:pPr>
      <w:r w:rsidRPr="00D92C82">
        <w:rPr>
          <w:b/>
        </w:rPr>
        <w:t xml:space="preserve">Email: </w:t>
      </w:r>
    </w:p>
    <w:p w14:paraId="17833F11" w14:textId="288946E7" w:rsidR="00BA03D1" w:rsidRPr="000776A1" w:rsidRDefault="00173BF2" w:rsidP="000776A1">
      <w:pPr>
        <w:jc w:val="center"/>
      </w:pPr>
      <w:r>
        <w:rPr>
          <w:noProof/>
        </w:rPr>
        <w:pict w14:anchorId="72EE98B8">
          <v:rect id="_x0000_i1027" alt="" style="width:468pt;height:.05pt;mso-width-percent:0;mso-height-percent:0;mso-width-percent:0;mso-height-percent:0" o:hralign="center" o:hrstd="t" o:hr="t" fillcolor="#aca899" stroked="f"/>
        </w:pict>
      </w:r>
    </w:p>
    <w:p w14:paraId="121C58C0" w14:textId="77777777" w:rsidR="0055602A" w:rsidRDefault="000776A1" w:rsidP="000776A1">
      <w:r>
        <w:t xml:space="preserve">Description of Program: </w:t>
      </w:r>
    </w:p>
    <w:p w14:paraId="6C9AE3A8" w14:textId="77777777" w:rsidR="0055602A" w:rsidRDefault="0055602A" w:rsidP="000776A1"/>
    <w:p w14:paraId="6CCCEF53" w14:textId="4D0B1DFD" w:rsidR="0055602A" w:rsidRDefault="0055602A" w:rsidP="000776A1">
      <w:r>
        <w:t>F</w:t>
      </w:r>
      <w:r w:rsidRPr="000776A1">
        <w:t>or those with a strong interest in becoming independent laboratory researcher</w:t>
      </w:r>
      <w:r w:rsidR="004B1D01">
        <w:t>s</w:t>
      </w:r>
      <w:r w:rsidRPr="000776A1">
        <w:t xml:space="preserve">, we </w:t>
      </w:r>
      <w:r w:rsidR="00A857D4">
        <w:t>offer the Duke Radiation Oncology Research Scholar (RORS)</w:t>
      </w:r>
      <w:r>
        <w:t xml:space="preserve"> program combining a Ho</w:t>
      </w:r>
      <w:r w:rsidRPr="000776A1">
        <w:t xml:space="preserve">lman Pathway with </w:t>
      </w:r>
      <w:r w:rsidR="00A857D4">
        <w:t xml:space="preserve">the opportunity for </w:t>
      </w:r>
      <w:r w:rsidRPr="000776A1">
        <w:t>a two-year post-residency mentored research instructorship position.</w:t>
      </w:r>
      <w:r w:rsidR="009A12EC" w:rsidRPr="000776A1">
        <w:t xml:space="preserve"> </w:t>
      </w:r>
      <w:r w:rsidRPr="000776A1">
        <w:t xml:space="preserve">We recognize that it can be challenging for radiation oncology trainees to obtain sufficient mentored research training. The goal of this novel program is to provide trainees with sufficient time to </w:t>
      </w:r>
      <w:r w:rsidR="004B1D01">
        <w:t>develop</w:t>
      </w:r>
      <w:r w:rsidR="004B1D01" w:rsidRPr="000776A1">
        <w:t xml:space="preserve"> </w:t>
      </w:r>
      <w:r w:rsidRPr="000776A1">
        <w:t xml:space="preserve">the skills, publications, and </w:t>
      </w:r>
      <w:r w:rsidR="004B1D01">
        <w:t>individualized</w:t>
      </w:r>
      <w:r w:rsidRPr="000776A1">
        <w:t xml:space="preserve"> scientific niche that </w:t>
      </w:r>
      <w:r w:rsidR="004B1D01">
        <w:t>enable</w:t>
      </w:r>
      <w:r w:rsidRPr="000776A1">
        <w:t xml:space="preserve"> a successful independent lab-based research career.</w:t>
      </w:r>
    </w:p>
    <w:p w14:paraId="412DF004" w14:textId="77777777" w:rsidR="0055602A" w:rsidRDefault="0055602A" w:rsidP="000776A1"/>
    <w:p w14:paraId="6D4E3557" w14:textId="7E733F62" w:rsidR="000776A1" w:rsidRDefault="00A857D4" w:rsidP="0055602A">
      <w:r>
        <w:t xml:space="preserve">For the 2024-2025 application cycle </w:t>
      </w:r>
      <w:r w:rsidR="004B1D01">
        <w:t xml:space="preserve">we </w:t>
      </w:r>
      <w:r w:rsidR="00C235AB">
        <w:t>are interviewing applicants for the</w:t>
      </w:r>
      <w:r w:rsidR="006B7427">
        <w:t xml:space="preserve"> </w:t>
      </w:r>
      <w:r w:rsidR="000776A1">
        <w:t>Duke Radiation Oncology Research Scholar (RORS) track</w:t>
      </w:r>
      <w:r>
        <w:t>. If you are interested in this track, note that it is a</w:t>
      </w:r>
      <w:r w:rsidR="000776A1" w:rsidRPr="000776A1">
        <w:t xml:space="preserve"> SEPARATE MATCH</w:t>
      </w:r>
      <w:r>
        <w:t xml:space="preserve">. Please also </w:t>
      </w:r>
      <w:proofErr w:type="gramStart"/>
      <w:r>
        <w:t>submit an application</w:t>
      </w:r>
      <w:proofErr w:type="gramEnd"/>
      <w:r>
        <w:t xml:space="preserve"> to both the Traditional (NRMP Code: </w:t>
      </w:r>
      <w:r w:rsidRPr="00A857D4">
        <w:t>1529430A0</w:t>
      </w:r>
      <w:r>
        <w:t xml:space="preserve">) and RORS (NRMP Code: </w:t>
      </w:r>
      <w:r w:rsidRPr="00A857D4">
        <w:t>1529430A1</w:t>
      </w:r>
      <w:r>
        <w:t xml:space="preserve">) Tracks in ERAS. In the RORS Program Duke Radiation Oncology </w:t>
      </w:r>
      <w:r w:rsidR="000776A1" w:rsidRPr="000776A1">
        <w:t xml:space="preserve">will offer 27 months </w:t>
      </w:r>
      <w:r w:rsidR="00B23A2A">
        <w:t xml:space="preserve">of </w:t>
      </w:r>
      <w:r w:rsidR="000776A1" w:rsidRPr="000776A1">
        <w:t xml:space="preserve">clinical training with up to 21 months </w:t>
      </w:r>
      <w:r w:rsidR="00B23A2A">
        <w:t xml:space="preserve">of </w:t>
      </w:r>
      <w:r w:rsidR="000776A1" w:rsidRPr="000776A1">
        <w:t xml:space="preserve">mentored research during residency based on clinical performance. Then, after residency there </w:t>
      </w:r>
      <w:r w:rsidR="003D59D3">
        <w:t>can</w:t>
      </w:r>
      <w:r w:rsidR="000776A1" w:rsidRPr="000776A1">
        <w:t xml:space="preserve"> be an opportunity to continue research for an additional 24 months as an </w:t>
      </w:r>
      <w:r w:rsidR="004B1D01">
        <w:t>I</w:t>
      </w:r>
      <w:r w:rsidR="000776A1" w:rsidRPr="000776A1">
        <w:t>nstructor with a well-defined focused clinical commitment (i</w:t>
      </w:r>
      <w:r w:rsidR="004B1D01">
        <w:t>.</w:t>
      </w:r>
      <w:r w:rsidR="000776A1" w:rsidRPr="000776A1">
        <w:t>e</w:t>
      </w:r>
      <w:r w:rsidR="004B1D01">
        <w:t>.</w:t>
      </w:r>
      <w:r w:rsidR="000776A1" w:rsidRPr="000776A1">
        <w:t xml:space="preserve"> seeing patients 1 day per week)</w:t>
      </w:r>
      <w:r w:rsidR="004F4EB5">
        <w:t xml:space="preserve"> and with MARKET RATE compensation</w:t>
      </w:r>
      <w:r w:rsidR="000776A1" w:rsidRPr="000776A1">
        <w:t>.</w:t>
      </w:r>
    </w:p>
    <w:p w14:paraId="68FBD5EA" w14:textId="42854BA0" w:rsidR="000776A1" w:rsidRDefault="00D750D9" w:rsidP="006C486A">
      <w:pPr>
        <w:pStyle w:val="NormalWeb"/>
      </w:pPr>
      <w:r>
        <w:t xml:space="preserve">Please complete the following secondary application so that we may better understand your </w:t>
      </w:r>
      <w:proofErr w:type="gramStart"/>
      <w:r>
        <w:t>future plans</w:t>
      </w:r>
      <w:proofErr w:type="gramEnd"/>
      <w:r>
        <w:t>.</w:t>
      </w:r>
      <w:r w:rsidR="002C751C">
        <w:t xml:space="preserve"> Please use as much room as necessary</w:t>
      </w:r>
      <w:r w:rsidR="009A12EC">
        <w:t>.</w:t>
      </w:r>
      <w:r w:rsidR="00776A6F">
        <w:t xml:space="preserve"> </w:t>
      </w:r>
    </w:p>
    <w:p w14:paraId="49AC964C" w14:textId="3979399B" w:rsidR="006462C2" w:rsidRDefault="00173BF2" w:rsidP="006C486A">
      <w:pPr>
        <w:pStyle w:val="NormalWeb"/>
      </w:pPr>
      <w:r>
        <w:rPr>
          <w:noProof/>
        </w:rPr>
        <w:pict w14:anchorId="7D0EBD18">
          <v:rect id="_x0000_i1026" alt="" style="width:468pt;height:.05pt;mso-width-percent:0;mso-height-percent:0;mso-width-percent:0;mso-height-percent:0" o:hralign="center" o:hrstd="t" o:hr="t" fillcolor="#aca899" stroked="f"/>
        </w:pict>
      </w:r>
    </w:p>
    <w:p w14:paraId="056ADD6A" w14:textId="77777777" w:rsidR="00CF792B" w:rsidRDefault="006C486A" w:rsidP="00CF792B">
      <w:pPr>
        <w:pStyle w:val="NormalWeb"/>
        <w:numPr>
          <w:ilvl w:val="0"/>
          <w:numId w:val="2"/>
        </w:numPr>
      </w:pPr>
      <w:r>
        <w:t xml:space="preserve">Describe </w:t>
      </w:r>
      <w:r w:rsidR="00CD666A">
        <w:t>your</w:t>
      </w:r>
      <w:r>
        <w:t xml:space="preserve"> research performed </w:t>
      </w:r>
      <w:r w:rsidR="00CE186D">
        <w:t>to date</w:t>
      </w:r>
      <w:r>
        <w:t xml:space="preserve"> and its impact.</w:t>
      </w:r>
    </w:p>
    <w:p w14:paraId="79A5D242" w14:textId="77777777" w:rsidR="00CF792B" w:rsidRDefault="00CF792B" w:rsidP="00CF792B">
      <w:pPr>
        <w:pStyle w:val="NormalWeb"/>
        <w:ind w:left="360"/>
      </w:pPr>
    </w:p>
    <w:p w14:paraId="2324D8B9" w14:textId="77777777" w:rsidR="00CF792B" w:rsidRDefault="00CF792B" w:rsidP="00CF792B">
      <w:pPr>
        <w:pStyle w:val="NormalWeb"/>
        <w:ind w:left="360"/>
      </w:pPr>
    </w:p>
    <w:p w14:paraId="74981513" w14:textId="77777777" w:rsidR="00CF792B" w:rsidRDefault="00CF792B" w:rsidP="00CB6094">
      <w:pPr>
        <w:pStyle w:val="NormalWeb"/>
        <w:numPr>
          <w:ilvl w:val="0"/>
          <w:numId w:val="2"/>
        </w:numPr>
      </w:pPr>
      <w:r>
        <w:t xml:space="preserve">Describe your future career plans and goals. In addition, please indicate any particular research or clinical interests you may have developed at this point of your training. </w:t>
      </w:r>
    </w:p>
    <w:p w14:paraId="6B9D738E" w14:textId="77777777" w:rsidR="00CF792B" w:rsidRDefault="00CF792B" w:rsidP="00CF792B">
      <w:pPr>
        <w:pStyle w:val="NormalWeb"/>
        <w:ind w:left="720"/>
      </w:pPr>
    </w:p>
    <w:p w14:paraId="725A1200" w14:textId="69AABB62" w:rsidR="00CB6094" w:rsidRPr="00CB6094" w:rsidRDefault="00CB6094" w:rsidP="007E4AA2">
      <w:pPr>
        <w:pStyle w:val="NormalWeb"/>
        <w:numPr>
          <w:ilvl w:val="0"/>
          <w:numId w:val="2"/>
        </w:numPr>
      </w:pPr>
      <w:r>
        <w:t xml:space="preserve"> </w:t>
      </w:r>
      <w:r w:rsidR="007E4AA2">
        <w:t>List your prior grant</w:t>
      </w:r>
      <w:r>
        <w:t xml:space="preserve"> support</w:t>
      </w:r>
      <w:r w:rsidR="007E11E9">
        <w:t xml:space="preserve"> if any:</w:t>
      </w:r>
    </w:p>
    <w:tbl>
      <w:tblPr>
        <w:tblW w:w="0" w:type="auto"/>
        <w:tblInd w:w="72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160"/>
        <w:gridCol w:w="2160"/>
        <w:gridCol w:w="3312"/>
        <w:gridCol w:w="1520"/>
        <w:gridCol w:w="1720"/>
      </w:tblGrid>
      <w:tr w:rsidR="00CB6094" w:rsidRPr="00CB6094" w14:paraId="41512B8D" w14:textId="77777777" w:rsidTr="00A55ED5">
        <w:trPr>
          <w:cantSplit/>
        </w:trPr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4718915" w14:textId="77777777" w:rsidR="00CB6094" w:rsidRPr="00CB6094" w:rsidRDefault="00CB6094" w:rsidP="00CB6094">
            <w:pPr>
              <w:pStyle w:val="NormalWeb"/>
            </w:pPr>
            <w:r w:rsidRPr="00CB6094">
              <w:t>Agency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2A4A081" w14:textId="77777777" w:rsidR="00CB6094" w:rsidRPr="00CB6094" w:rsidRDefault="00CB6094" w:rsidP="00CB6094">
            <w:pPr>
              <w:pStyle w:val="NormalWeb"/>
            </w:pPr>
            <w:r w:rsidRPr="00CB6094">
              <w:t>Number (if applicable)</w:t>
            </w:r>
          </w:p>
        </w:tc>
        <w:tc>
          <w:tcPr>
            <w:tcW w:w="33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0AE3F57" w14:textId="77777777" w:rsidR="00CB6094" w:rsidRPr="00CB6094" w:rsidRDefault="00CB6094" w:rsidP="00CB6094">
            <w:pPr>
              <w:pStyle w:val="NormalWeb"/>
            </w:pPr>
            <w:r w:rsidRPr="00CB6094">
              <w:t>Type or Level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7C0DB93" w14:textId="77777777" w:rsidR="00CB6094" w:rsidRPr="00CB6094" w:rsidRDefault="00CB6094" w:rsidP="00CB6094">
            <w:pPr>
              <w:pStyle w:val="NormalWeb"/>
            </w:pPr>
            <w:r w:rsidRPr="00CB6094">
              <w:t>Date Begun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CB4709E" w14:textId="77777777" w:rsidR="00CB6094" w:rsidRPr="00CB6094" w:rsidRDefault="00CB6094" w:rsidP="00CB6094">
            <w:pPr>
              <w:pStyle w:val="NormalWeb"/>
            </w:pPr>
            <w:r w:rsidRPr="00CB6094">
              <w:t>Date Terminated</w:t>
            </w:r>
          </w:p>
        </w:tc>
      </w:tr>
      <w:tr w:rsidR="00CB6094" w:rsidRPr="00CB6094" w14:paraId="57B1C4FA" w14:textId="77777777" w:rsidTr="00A55ED5">
        <w:trPr>
          <w:cantSplit/>
        </w:trPr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2008501" w14:textId="77777777" w:rsidR="00CB6094" w:rsidRPr="00CB6094" w:rsidRDefault="00CB6094" w:rsidP="00CB6094">
            <w:pPr>
              <w:pStyle w:val="NormalWeb"/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8FB6DD3" w14:textId="77777777" w:rsidR="00CB6094" w:rsidRPr="00CB6094" w:rsidRDefault="00CB6094" w:rsidP="00CB6094">
            <w:pPr>
              <w:pStyle w:val="NormalWeb"/>
            </w:pPr>
          </w:p>
        </w:tc>
        <w:tc>
          <w:tcPr>
            <w:tcW w:w="33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0B11828" w14:textId="77777777" w:rsidR="00CB6094" w:rsidRPr="00CB6094" w:rsidRDefault="00CB6094" w:rsidP="00CB6094">
            <w:pPr>
              <w:pStyle w:val="NormalWeb"/>
            </w:pPr>
          </w:p>
        </w:tc>
        <w:tc>
          <w:tcPr>
            <w:tcW w:w="1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4F8B4EF" w14:textId="77777777" w:rsidR="00CB6094" w:rsidRPr="00CB6094" w:rsidRDefault="00CB6094" w:rsidP="00CB6094">
            <w:pPr>
              <w:pStyle w:val="NormalWeb"/>
            </w:pPr>
          </w:p>
        </w:tc>
        <w:tc>
          <w:tcPr>
            <w:tcW w:w="1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4421F25" w14:textId="77777777" w:rsidR="00CB6094" w:rsidRPr="00CB6094" w:rsidRDefault="00CB6094" w:rsidP="00CB6094">
            <w:pPr>
              <w:pStyle w:val="NormalWeb"/>
            </w:pPr>
          </w:p>
        </w:tc>
      </w:tr>
      <w:tr w:rsidR="00CB6094" w:rsidRPr="00CB6094" w14:paraId="065A7270" w14:textId="77777777" w:rsidTr="00A55ED5">
        <w:trPr>
          <w:cantSplit/>
        </w:trPr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9DE924C" w14:textId="77777777" w:rsidR="00CB6094" w:rsidRPr="00CB6094" w:rsidRDefault="00CB6094" w:rsidP="00CB6094">
            <w:pPr>
              <w:pStyle w:val="NormalWeb"/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A9F4187" w14:textId="77777777" w:rsidR="00CB6094" w:rsidRPr="00CB6094" w:rsidRDefault="00CB6094" w:rsidP="00CB6094">
            <w:pPr>
              <w:pStyle w:val="NormalWeb"/>
            </w:pPr>
          </w:p>
        </w:tc>
        <w:tc>
          <w:tcPr>
            <w:tcW w:w="33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AA1C2AA" w14:textId="77777777" w:rsidR="00CB6094" w:rsidRPr="00CB6094" w:rsidRDefault="00CB6094" w:rsidP="00CB6094">
            <w:pPr>
              <w:pStyle w:val="NormalWeb"/>
            </w:pPr>
          </w:p>
        </w:tc>
        <w:tc>
          <w:tcPr>
            <w:tcW w:w="1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AB5DFCF" w14:textId="77777777" w:rsidR="00CB6094" w:rsidRPr="00CB6094" w:rsidRDefault="00CB6094" w:rsidP="00CB6094">
            <w:pPr>
              <w:pStyle w:val="NormalWeb"/>
            </w:pPr>
          </w:p>
        </w:tc>
        <w:tc>
          <w:tcPr>
            <w:tcW w:w="1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E57B8D3" w14:textId="77777777" w:rsidR="00CB6094" w:rsidRPr="00CB6094" w:rsidRDefault="00CB6094" w:rsidP="00CB6094">
            <w:pPr>
              <w:pStyle w:val="NormalWeb"/>
            </w:pPr>
          </w:p>
        </w:tc>
      </w:tr>
    </w:tbl>
    <w:p w14:paraId="4399A640" w14:textId="1D8FE706" w:rsidR="006C486A" w:rsidRDefault="00CF792B" w:rsidP="00CF792B">
      <w:pPr>
        <w:pStyle w:val="NormalWeb"/>
        <w:numPr>
          <w:ilvl w:val="0"/>
          <w:numId w:val="2"/>
        </w:numPr>
      </w:pPr>
      <w:r>
        <w:rPr>
          <w:b/>
        </w:rPr>
        <w:t xml:space="preserve"> </w:t>
      </w:r>
      <w:r w:rsidR="006C486A">
        <w:t xml:space="preserve">List any individuals that you may wish to meet during your visit to </w:t>
      </w:r>
      <w:r w:rsidR="00B46383">
        <w:t>Duke</w:t>
      </w:r>
      <w:r w:rsidR="006C486A">
        <w:t>.</w:t>
      </w:r>
    </w:p>
    <w:p w14:paraId="788BC8C0" w14:textId="77777777" w:rsidR="005D5345" w:rsidRDefault="005D5345" w:rsidP="006C486A">
      <w:pPr>
        <w:jc w:val="center"/>
      </w:pPr>
    </w:p>
    <w:p w14:paraId="25A17659" w14:textId="77777777" w:rsidR="005D5345" w:rsidRDefault="005D5345" w:rsidP="006C486A">
      <w:pPr>
        <w:jc w:val="center"/>
      </w:pPr>
    </w:p>
    <w:p w14:paraId="3E45ECE7" w14:textId="77777777" w:rsidR="005D5345" w:rsidRDefault="005D5345" w:rsidP="006C486A">
      <w:pPr>
        <w:jc w:val="center"/>
      </w:pPr>
    </w:p>
    <w:p w14:paraId="1B9E3914" w14:textId="77777777" w:rsidR="009A04CF" w:rsidRDefault="009A04CF" w:rsidP="006C486A">
      <w:pPr>
        <w:jc w:val="center"/>
      </w:pPr>
    </w:p>
    <w:p w14:paraId="200081F8" w14:textId="77777777" w:rsidR="009A04CF" w:rsidRDefault="009A04CF" w:rsidP="006C486A">
      <w:pPr>
        <w:jc w:val="center"/>
      </w:pPr>
    </w:p>
    <w:p w14:paraId="4E86C86E" w14:textId="77777777" w:rsidR="005D5345" w:rsidRDefault="005D5345" w:rsidP="006C486A">
      <w:pPr>
        <w:jc w:val="center"/>
      </w:pPr>
    </w:p>
    <w:p w14:paraId="23C40CCA" w14:textId="77777777" w:rsidR="005D5345" w:rsidRDefault="005D5345" w:rsidP="006C486A">
      <w:pPr>
        <w:jc w:val="center"/>
      </w:pPr>
    </w:p>
    <w:p w14:paraId="332B5948" w14:textId="77777777" w:rsidR="009A04CF" w:rsidRDefault="009A04CF" w:rsidP="006C486A">
      <w:pPr>
        <w:jc w:val="center"/>
      </w:pPr>
    </w:p>
    <w:p w14:paraId="64A36A70" w14:textId="12AF75A2" w:rsidR="00B23A2A" w:rsidRPr="00CF792B" w:rsidRDefault="009A04CF" w:rsidP="00CF792B">
      <w:pPr>
        <w:pStyle w:val="ListParagraph"/>
        <w:numPr>
          <w:ilvl w:val="0"/>
          <w:numId w:val="2"/>
        </w:numPr>
        <w:rPr>
          <w:rFonts w:eastAsiaTheme="minorEastAsia"/>
          <w:noProof/>
        </w:rPr>
      </w:pPr>
      <w:r>
        <w:t xml:space="preserve"> </w:t>
      </w:r>
      <w:r w:rsidRPr="009A04CF">
        <w:t xml:space="preserve">Please list your Ph.D. mentor or research supervisor whom you </w:t>
      </w:r>
      <w:r>
        <w:t>have</w:t>
      </w:r>
      <w:r w:rsidRPr="009A04CF">
        <w:t xml:space="preserve"> requested a letter of recommendation. </w:t>
      </w:r>
      <w:r w:rsidR="00B23A2A">
        <w:t xml:space="preserve">If your </w:t>
      </w:r>
      <w:r w:rsidR="00B23A2A" w:rsidRPr="009A04CF">
        <w:t>Ph.D. mentor or research supervisor</w:t>
      </w:r>
      <w:r w:rsidR="00B23A2A">
        <w:t xml:space="preserve"> did not submit a letter of recommendation with your ERAS application, please request that this person send a letter to </w:t>
      </w:r>
      <w:r w:rsidR="002B76D5">
        <w:rPr>
          <w:rFonts w:eastAsiaTheme="minorEastAsia"/>
          <w:noProof/>
        </w:rPr>
        <w:t>Allie McArdle</w:t>
      </w:r>
      <w:r w:rsidR="00B23A2A" w:rsidRPr="00CF792B">
        <w:rPr>
          <w:rFonts w:eastAsiaTheme="minorEastAsia"/>
          <w:noProof/>
        </w:rPr>
        <w:t xml:space="preserve"> at the email address below.</w:t>
      </w:r>
    </w:p>
    <w:p w14:paraId="210CE5F7" w14:textId="66B83037" w:rsidR="009A04CF" w:rsidRDefault="009A04CF" w:rsidP="009A04CF"/>
    <w:p w14:paraId="06DF0129" w14:textId="77777777" w:rsidR="005D5345" w:rsidRDefault="005D5345" w:rsidP="006C486A">
      <w:pPr>
        <w:jc w:val="center"/>
      </w:pPr>
    </w:p>
    <w:p w14:paraId="343C3FDC" w14:textId="77777777" w:rsidR="005D5345" w:rsidRDefault="005D5345" w:rsidP="006C486A">
      <w:pPr>
        <w:jc w:val="center"/>
      </w:pPr>
    </w:p>
    <w:p w14:paraId="066ABD15" w14:textId="77777777" w:rsidR="009A04CF" w:rsidRDefault="009A04CF" w:rsidP="006C486A">
      <w:pPr>
        <w:jc w:val="center"/>
      </w:pPr>
    </w:p>
    <w:p w14:paraId="47E48028" w14:textId="77777777" w:rsidR="009A04CF" w:rsidRDefault="009A04CF" w:rsidP="006C486A">
      <w:pPr>
        <w:jc w:val="center"/>
      </w:pPr>
    </w:p>
    <w:p w14:paraId="24155AD8" w14:textId="77777777" w:rsidR="009A04CF" w:rsidRDefault="009A04CF" w:rsidP="006C486A">
      <w:pPr>
        <w:jc w:val="center"/>
      </w:pPr>
    </w:p>
    <w:p w14:paraId="624AE1EA" w14:textId="77777777" w:rsidR="009A04CF" w:rsidRDefault="009A04CF" w:rsidP="006C486A">
      <w:pPr>
        <w:jc w:val="center"/>
      </w:pPr>
    </w:p>
    <w:p w14:paraId="6DC9B8DA" w14:textId="77777777" w:rsidR="005D5345" w:rsidRDefault="005D5345" w:rsidP="006C486A">
      <w:pPr>
        <w:jc w:val="center"/>
      </w:pPr>
    </w:p>
    <w:p w14:paraId="6EC58425" w14:textId="77777777" w:rsidR="005D5345" w:rsidRDefault="005D5345" w:rsidP="006C486A">
      <w:pPr>
        <w:jc w:val="center"/>
      </w:pPr>
    </w:p>
    <w:p w14:paraId="2A6B7083" w14:textId="77777777" w:rsidR="006C486A" w:rsidRDefault="00173BF2" w:rsidP="006C486A">
      <w:pPr>
        <w:jc w:val="center"/>
      </w:pPr>
      <w:r>
        <w:rPr>
          <w:noProof/>
        </w:rPr>
        <w:pict w14:anchorId="4665C487">
          <v:rect id="_x0000_i1025" alt="" style="width:468pt;height:.05pt;mso-width-percent:0;mso-height-percent:0;mso-width-percent:0;mso-height-percent:0" o:hralign="center" o:hrstd="t" o:hr="t" fillcolor="#aca899" stroked="f"/>
        </w:pict>
      </w:r>
    </w:p>
    <w:p w14:paraId="76C808CF" w14:textId="3DF598E7" w:rsidR="006C486A" w:rsidRDefault="006176E4" w:rsidP="006C486A">
      <w:pPr>
        <w:pStyle w:val="NormalWeb"/>
      </w:pPr>
      <w:r>
        <w:t>Upon completion of this application</w:t>
      </w:r>
      <w:r w:rsidR="00F33A06">
        <w:t>, please</w:t>
      </w:r>
      <w:r w:rsidR="00BA03D1">
        <w:t xml:space="preserve"> </w:t>
      </w:r>
      <w:r w:rsidR="003E0FED">
        <w:t xml:space="preserve">e-mail it </w:t>
      </w:r>
      <w:r w:rsidR="00B54CA7">
        <w:t>by November 1</w:t>
      </w:r>
      <w:r w:rsidR="002B76D5">
        <w:t>5</w:t>
      </w:r>
      <w:r w:rsidR="00B54CA7">
        <w:t>, 20</w:t>
      </w:r>
      <w:r w:rsidR="002B76D5">
        <w:t>24</w:t>
      </w:r>
      <w:r w:rsidR="00B54CA7">
        <w:t xml:space="preserve"> </w:t>
      </w:r>
      <w:r w:rsidR="00B23A2A">
        <w:t xml:space="preserve">to </w:t>
      </w:r>
      <w:r w:rsidR="003E0FED">
        <w:t xml:space="preserve">the </w:t>
      </w:r>
      <w:r w:rsidR="00B46383">
        <w:t>Radiation Oncology Residency</w:t>
      </w:r>
      <w:r w:rsidR="003E0FED">
        <w:t xml:space="preserve"> Coordinator</w:t>
      </w:r>
      <w:r w:rsidR="00F33A06">
        <w:t xml:space="preserve"> with the Subject </w:t>
      </w:r>
      <w:r w:rsidR="00B23F99">
        <w:t>Title:</w:t>
      </w:r>
      <w:r w:rsidR="00F33A06">
        <w:t xml:space="preserve"> </w:t>
      </w:r>
      <w:r w:rsidR="00B23F99" w:rsidRPr="00B23F99">
        <w:rPr>
          <w:u w:val="single"/>
        </w:rPr>
        <w:t xml:space="preserve">New </w:t>
      </w:r>
      <w:r w:rsidR="00B46383">
        <w:rPr>
          <w:u w:val="single"/>
        </w:rPr>
        <w:t>RORS</w:t>
      </w:r>
      <w:r w:rsidR="00F33A06" w:rsidRPr="00B23F99">
        <w:rPr>
          <w:u w:val="single"/>
        </w:rPr>
        <w:t xml:space="preserve"> Application</w:t>
      </w:r>
      <w:r w:rsidR="003E0FED">
        <w:t>:</w:t>
      </w:r>
    </w:p>
    <w:p w14:paraId="7306E861" w14:textId="2862706C" w:rsidR="00F33A06" w:rsidRDefault="00A857D4" w:rsidP="00F33A06">
      <w:pPr>
        <w:rPr>
          <w:rFonts w:eastAsiaTheme="minorEastAsia"/>
          <w:noProof/>
        </w:rPr>
      </w:pPr>
      <w:r>
        <w:rPr>
          <w:rFonts w:eastAsiaTheme="minorEastAsia"/>
          <w:noProof/>
        </w:rPr>
        <w:t>Allie McArdle</w:t>
      </w:r>
    </w:p>
    <w:p w14:paraId="6B0DC2C1" w14:textId="268AA28A" w:rsidR="00F33A06" w:rsidRDefault="00B46383" w:rsidP="00F33A06">
      <w:pPr>
        <w:rPr>
          <w:rFonts w:eastAsiaTheme="minorEastAsia"/>
          <w:noProof/>
        </w:rPr>
      </w:pPr>
      <w:r>
        <w:rPr>
          <w:rFonts w:eastAsiaTheme="minorEastAsia"/>
          <w:noProof/>
        </w:rPr>
        <w:t>Department of Radiation Oncology</w:t>
      </w:r>
    </w:p>
    <w:p w14:paraId="09F54726" w14:textId="65909C2B" w:rsidR="00F33A06" w:rsidRDefault="00B46383" w:rsidP="00F33A06">
      <w:pPr>
        <w:rPr>
          <w:rFonts w:eastAsiaTheme="minorEastAsia"/>
          <w:noProof/>
        </w:rPr>
      </w:pPr>
      <w:r>
        <w:rPr>
          <w:rFonts w:eastAsiaTheme="minorEastAsia"/>
          <w:noProof/>
        </w:rPr>
        <w:t>Duke</w:t>
      </w:r>
      <w:r w:rsidR="00F33A06">
        <w:rPr>
          <w:rFonts w:eastAsiaTheme="minorEastAsia"/>
          <w:noProof/>
        </w:rPr>
        <w:t xml:space="preserve"> University School of Medicine</w:t>
      </w:r>
    </w:p>
    <w:p w14:paraId="21B738F9" w14:textId="455C8135" w:rsidR="00F33A06" w:rsidRPr="00F33A06" w:rsidRDefault="00A857D4" w:rsidP="00F33A06">
      <w:pPr>
        <w:rPr>
          <w:rFonts w:eastAsiaTheme="minorEastAsia"/>
          <w:b/>
          <w:noProof/>
        </w:rPr>
      </w:pPr>
      <w:r>
        <w:rPr>
          <w:rFonts w:eastAsiaTheme="minorEastAsia"/>
          <w:b/>
          <w:noProof/>
        </w:rPr>
        <w:t>Allison.mcardle</w:t>
      </w:r>
      <w:r w:rsidR="00B46383">
        <w:rPr>
          <w:rFonts w:eastAsiaTheme="minorEastAsia"/>
          <w:b/>
          <w:noProof/>
        </w:rPr>
        <w:t>@duke.edu</w:t>
      </w:r>
    </w:p>
    <w:p w14:paraId="0D117CD4" w14:textId="4364B666" w:rsidR="00E46C55" w:rsidRDefault="00E46C55" w:rsidP="00F33A06">
      <w:pPr>
        <w:pStyle w:val="NormalWeb"/>
      </w:pPr>
    </w:p>
    <w:sectPr w:rsidR="00E46C55" w:rsidSect="00B23F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A65CF"/>
    <w:multiLevelType w:val="hybridMultilevel"/>
    <w:tmpl w:val="2612C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D3863"/>
    <w:multiLevelType w:val="hybridMultilevel"/>
    <w:tmpl w:val="59743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337524">
    <w:abstractNumId w:val="1"/>
  </w:num>
  <w:num w:numId="2" w16cid:durableId="9228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6A"/>
    <w:rsid w:val="0006289D"/>
    <w:rsid w:val="000776A1"/>
    <w:rsid w:val="00173BF2"/>
    <w:rsid w:val="001E0AF5"/>
    <w:rsid w:val="002B76D5"/>
    <w:rsid w:val="002C751C"/>
    <w:rsid w:val="002D700D"/>
    <w:rsid w:val="003A6264"/>
    <w:rsid w:val="003D59D3"/>
    <w:rsid w:val="003E0FED"/>
    <w:rsid w:val="004B1D01"/>
    <w:rsid w:val="004F4EB5"/>
    <w:rsid w:val="0055602A"/>
    <w:rsid w:val="00586F9A"/>
    <w:rsid w:val="005A40BE"/>
    <w:rsid w:val="005D5345"/>
    <w:rsid w:val="006176E4"/>
    <w:rsid w:val="00635766"/>
    <w:rsid w:val="006462C2"/>
    <w:rsid w:val="00676E61"/>
    <w:rsid w:val="006B7427"/>
    <w:rsid w:val="006C486A"/>
    <w:rsid w:val="006D0022"/>
    <w:rsid w:val="0074086F"/>
    <w:rsid w:val="00776A6F"/>
    <w:rsid w:val="007849A0"/>
    <w:rsid w:val="007E11E9"/>
    <w:rsid w:val="007E4AA2"/>
    <w:rsid w:val="008D4B7C"/>
    <w:rsid w:val="00974A1F"/>
    <w:rsid w:val="009876AD"/>
    <w:rsid w:val="009A04CF"/>
    <w:rsid w:val="009A12EC"/>
    <w:rsid w:val="009E52F8"/>
    <w:rsid w:val="00A857D4"/>
    <w:rsid w:val="00AA296C"/>
    <w:rsid w:val="00B23A2A"/>
    <w:rsid w:val="00B23F99"/>
    <w:rsid w:val="00B46383"/>
    <w:rsid w:val="00B54CA7"/>
    <w:rsid w:val="00BA03D1"/>
    <w:rsid w:val="00C235AB"/>
    <w:rsid w:val="00C36E54"/>
    <w:rsid w:val="00CB6094"/>
    <w:rsid w:val="00CD666A"/>
    <w:rsid w:val="00CE186D"/>
    <w:rsid w:val="00CF792B"/>
    <w:rsid w:val="00D64A61"/>
    <w:rsid w:val="00D750D9"/>
    <w:rsid w:val="00D92C82"/>
    <w:rsid w:val="00DB7EB5"/>
    <w:rsid w:val="00E353CD"/>
    <w:rsid w:val="00E46C55"/>
    <w:rsid w:val="00F33A06"/>
    <w:rsid w:val="00FA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ED8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C486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486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C486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C486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0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01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1D0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D0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D01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D0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D01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F7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.~WRD0002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</dc:creator>
  <cp:keywords/>
  <dc:description/>
  <cp:lastModifiedBy>Joseph Salama, M.D.</cp:lastModifiedBy>
  <cp:revision>3</cp:revision>
  <dcterms:created xsi:type="dcterms:W3CDTF">2024-09-05T19:53:00Z</dcterms:created>
  <dcterms:modified xsi:type="dcterms:W3CDTF">2024-09-05T19:53:00Z</dcterms:modified>
</cp:coreProperties>
</file>